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6F" w:rsidRPr="00DB3440" w:rsidRDefault="00D53B6F" w:rsidP="00D5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D53B6F" w:rsidRPr="000539EB" w:rsidRDefault="00D53B6F" w:rsidP="00D53B6F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>
        <w:rPr>
          <w:rFonts w:ascii="Times New Roman" w:hAnsi="Times New Roman" w:cs="Times New Roman"/>
          <w:sz w:val="24"/>
          <w:szCs w:val="24"/>
        </w:rPr>
        <w:t>13232-</w:t>
      </w:r>
      <w:r w:rsidR="00BD09DA">
        <w:rPr>
          <w:rFonts w:ascii="Times New Roman" w:hAnsi="Times New Roman" w:cs="Times New Roman"/>
          <w:sz w:val="24"/>
          <w:szCs w:val="24"/>
        </w:rPr>
        <w:t>18</w:t>
      </w:r>
      <w:r w:rsidRPr="000539EB">
        <w:rPr>
          <w:rFonts w:ascii="Times New Roman" w:hAnsi="Times New Roman" w:cs="Times New Roman"/>
          <w:sz w:val="24"/>
          <w:szCs w:val="24"/>
        </w:rPr>
        <w:t>/2020.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F718FC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159</w:t>
      </w:r>
      <w:r w:rsidR="00D53B6F" w:rsidRPr="000539EB">
        <w:rPr>
          <w:rFonts w:ascii="Times New Roman" w:hAnsi="Times New Roman" w:cs="Times New Roman"/>
          <w:b/>
          <w:sz w:val="24"/>
          <w:szCs w:val="24"/>
        </w:rPr>
        <w:t xml:space="preserve">/2020. 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D53B6F" w:rsidRPr="003F3FBD" w:rsidRDefault="00D53B6F" w:rsidP="00D53B6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Alapító Okiratának módosításáról</w:t>
      </w:r>
    </w:p>
    <w:p w:rsidR="00D53B6F" w:rsidRPr="000539EB" w:rsidRDefault="00D53B6F" w:rsidP="00D5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Cs/>
          <w:sz w:val="24"/>
          <w:szCs w:val="24"/>
        </w:rPr>
        <w:t xml:space="preserve">Elfogadom </w:t>
      </w:r>
      <w:r w:rsidRPr="000539EB">
        <w:rPr>
          <w:rFonts w:ascii="Times New Roman" w:hAnsi="Times New Roman" w:cs="Times New Roman"/>
          <w:b/>
          <w:bCs/>
          <w:sz w:val="24"/>
          <w:szCs w:val="24"/>
        </w:rPr>
        <w:t xml:space="preserve">a határozat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mellékletét képező,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Központ alapító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okirat módosítását</w:t>
      </w:r>
      <w:r w:rsidR="005F7434">
        <w:rPr>
          <w:rFonts w:ascii="Times New Roman" w:hAnsi="Times New Roman" w:cs="Times New Roman"/>
          <w:b/>
          <w:sz w:val="24"/>
          <w:szCs w:val="24"/>
        </w:rPr>
        <w:t>, és az egység</w:t>
      </w:r>
      <w:r w:rsidR="00C34226">
        <w:rPr>
          <w:rFonts w:ascii="Times New Roman" w:hAnsi="Times New Roman" w:cs="Times New Roman"/>
          <w:b/>
          <w:sz w:val="24"/>
          <w:szCs w:val="24"/>
        </w:rPr>
        <w:t>es szerkezetű alapító okiratát, az alábbi kormányzati funkció felvételével</w:t>
      </w:r>
      <w:r w:rsidR="002B0A05">
        <w:rPr>
          <w:rFonts w:ascii="Times New Roman" w:hAnsi="Times New Roman" w:cs="Times New Roman"/>
          <w:b/>
          <w:sz w:val="24"/>
          <w:szCs w:val="24"/>
        </w:rPr>
        <w:t>, a határozat melléklete szerinti tartalommal</w:t>
      </w:r>
      <w:r w:rsidR="00C34226">
        <w:rPr>
          <w:rFonts w:ascii="Times New Roman" w:hAnsi="Times New Roman" w:cs="Times New Roman"/>
          <w:b/>
          <w:sz w:val="24"/>
          <w:szCs w:val="24"/>
        </w:rPr>
        <w:t>:</w:t>
      </w:r>
    </w:p>
    <w:p w:rsidR="00C34226" w:rsidRPr="00C34226" w:rsidRDefault="00C34226" w:rsidP="00C34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226" w:rsidRDefault="00C34226" w:rsidP="00C34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26">
        <w:rPr>
          <w:rFonts w:ascii="Times New Roman" w:hAnsi="Times New Roman" w:cs="Times New Roman"/>
          <w:b/>
          <w:sz w:val="24"/>
          <w:szCs w:val="24"/>
        </w:rPr>
        <w:t>104030 Gyermekek napközbeni ellátása családi bölcsőde, munkahelyi bölcsőde, napközbeni gyermekfelügyelet vagy alternatív napközbeni ellátás útján</w:t>
      </w:r>
    </w:p>
    <w:p w:rsidR="00C34226" w:rsidRPr="00C34226" w:rsidRDefault="00C34226" w:rsidP="00C34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40A" w:rsidRPr="00873087" w:rsidRDefault="00B47F39" w:rsidP="008124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</w:rPr>
        <w:t>A döntésemet 2020. dec</w:t>
      </w:r>
      <w:r w:rsidR="0081240A">
        <w:rPr>
          <w:rFonts w:ascii="Times New Roman" w:hAnsi="Times New Roman" w:cs="Times New Roman"/>
          <w:bCs/>
          <w:sz w:val="24"/>
          <w:szCs w:val="24"/>
        </w:rPr>
        <w:t xml:space="preserve">ember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="0081240A">
        <w:rPr>
          <w:rFonts w:ascii="Times New Roman" w:hAnsi="Times New Roman" w:cs="Times New Roman"/>
          <w:bCs/>
          <w:sz w:val="24"/>
          <w:szCs w:val="24"/>
        </w:rPr>
        <w:t xml:space="preserve">. napjáig megküldöm </w:t>
      </w:r>
      <w:r w:rsidR="00D53B6F" w:rsidRPr="0018711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Magyar Államkincstárnak</w:t>
      </w:r>
      <w:r w:rsidR="0081240A" w:rsidRPr="0087308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 módosított alapító okirat törzskönyvi ny</w:t>
      </w:r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ilvántartáson való átvezetése érdekében, valamint a határozatomról tájékoztatom az érintett, a </w:t>
      </w:r>
      <w:proofErr w:type="spellStart"/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Kornisné</w:t>
      </w:r>
      <w:proofErr w:type="spellEnd"/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Liptay</w:t>
      </w:r>
      <w:proofErr w:type="spellEnd"/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Elza Szociális és Gyermekjóléti Központ intézmény vezetőjét. </w:t>
      </w:r>
    </w:p>
    <w:p w:rsidR="00CC669F" w:rsidRPr="002B0A05" w:rsidRDefault="00CC669F" w:rsidP="00D53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53B6F" w:rsidRDefault="00D53B6F" w:rsidP="00D53B6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CC669F" w:rsidRPr="002B0A05" w:rsidRDefault="00CC669F" w:rsidP="00D53B6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CC669F" w:rsidRPr="00B92022" w:rsidRDefault="00CC669F" w:rsidP="0059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alábbi kormányzati funkció felvétele szükséges, az intézmény által benyújtott és megvalósított pályázat elszámolása érdekében:</w:t>
      </w:r>
    </w:p>
    <w:p w:rsidR="00CC669F" w:rsidRPr="006D40E2" w:rsidRDefault="00CC669F" w:rsidP="00597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  <w:lang w:eastAsia="hu-HU"/>
        </w:rPr>
      </w:pPr>
    </w:p>
    <w:p w:rsidR="005F7434" w:rsidRDefault="00CC669F" w:rsidP="005970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B9202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104030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9202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Gyermekek napközbeni ellátása családi bölcsőde, munkahelyi bölcsőde, napközbeni gyermekfelügyelet vagy alternatív napközbeni ellátás útján</w:t>
      </w:r>
    </w:p>
    <w:p w:rsidR="00CC669F" w:rsidRPr="006D40E2" w:rsidRDefault="00CC669F" w:rsidP="005970A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4"/>
          <w:highlight w:val="yellow"/>
        </w:rPr>
      </w:pPr>
    </w:p>
    <w:p w:rsidR="005970A1" w:rsidRDefault="00CC669F" w:rsidP="005970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CC669F">
        <w:rPr>
          <w:rFonts w:ascii="Times New Roman" w:hAnsi="Times New Roman" w:cs="Times New Roman"/>
          <w:bCs/>
          <w:sz w:val="24"/>
          <w:szCs w:val="24"/>
        </w:rPr>
        <w:t xml:space="preserve">z 1997. évi XXXI. törvény a Gyermekek védelméről és gyámügyi igazgatásról (továbbiakban GYVT.) 39.§ 2) bekezdés (d) pontja alapján a Gyermekjóléti szolgáltatás feladata a szabadidős programok szervezése. A Család- és Gyermekjóléti Központ 2020. május hónapban pályázatot nyújtott be az „Erzsébet a Kárpát-medencei Gyermekekért Alapítvány” részére, Napközi Erzsébet-táboroztatásra. A korábbi években csak oktatási intézmények részére volt elérhető az Erzsébet-tábor lehetősége, azonban az idei évben lehetőséget adtak, hogy Családsegítő Központok is élhetnek a lehetőséggel. A pályázat sikeres volt, a tábor megtartásra került. Az alapítvány a </w:t>
      </w:r>
      <w:r>
        <w:rPr>
          <w:rFonts w:ascii="Times New Roman" w:hAnsi="Times New Roman" w:cs="Times New Roman"/>
          <w:bCs/>
          <w:sz w:val="24"/>
          <w:szCs w:val="24"/>
        </w:rPr>
        <w:t>Pénzügyi és Szakmai beszámoló</w:t>
      </w:r>
      <w:r w:rsidRPr="00CC669F">
        <w:rPr>
          <w:rFonts w:ascii="Times New Roman" w:hAnsi="Times New Roman" w:cs="Times New Roman"/>
          <w:bCs/>
          <w:sz w:val="24"/>
          <w:szCs w:val="24"/>
        </w:rPr>
        <w:t>t elfogadta, amiről 2020.</w:t>
      </w:r>
      <w:r w:rsidR="002B0A05">
        <w:rPr>
          <w:rFonts w:ascii="Times New Roman" w:hAnsi="Times New Roman" w:cs="Times New Roman"/>
          <w:bCs/>
          <w:sz w:val="24"/>
          <w:szCs w:val="24"/>
        </w:rPr>
        <w:t xml:space="preserve"> 11. 27.-én értesítést küldtek. </w:t>
      </w:r>
      <w:r w:rsidRPr="00CC669F">
        <w:rPr>
          <w:rFonts w:ascii="Times New Roman" w:hAnsi="Times New Roman" w:cs="Times New Roman"/>
          <w:bCs/>
          <w:sz w:val="24"/>
          <w:szCs w:val="24"/>
        </w:rPr>
        <w:t>Ebben az értesítésben felhívták a jelentkező intézményt, hogy a pályázat elbírálásakor nem vették figyelembe a TEÁOR szám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(8891 </w:t>
      </w:r>
      <w:r w:rsidRPr="00CC669F">
        <w:rPr>
          <w:rFonts w:ascii="Times New Roman" w:hAnsi="Times New Roman" w:cs="Times New Roman"/>
          <w:bCs/>
          <w:sz w:val="24"/>
          <w:szCs w:val="24"/>
        </w:rPr>
        <w:t xml:space="preserve">Gyermekek napközbeni ellátása) meglétét, azonban a végszámla kiállításához </w:t>
      </w:r>
      <w:r w:rsidRPr="00CC669F">
        <w:rPr>
          <w:rFonts w:ascii="Times New Roman" w:hAnsi="Times New Roman" w:cs="Times New Roman"/>
          <w:bCs/>
          <w:sz w:val="24"/>
          <w:szCs w:val="24"/>
        </w:rPr>
        <w:lastRenderedPageBreak/>
        <w:t>szükséges mivel csak ezzel a tevékenységgel lehet a szolgáltatást számlázni.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81240A" w:rsidRDefault="00CC669F" w:rsidP="005970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69F">
        <w:rPr>
          <w:rFonts w:ascii="Times New Roman" w:hAnsi="Times New Roman" w:cs="Times New Roman"/>
          <w:bCs/>
          <w:sz w:val="24"/>
          <w:szCs w:val="24"/>
        </w:rPr>
        <w:t xml:space="preserve">A 15/2019. (XII. 7.) PM rendelet a kormányzati funkciók és államháztartási szakágazatok osztályozási rendjéről szóló jogszabály 1. mellékletében szereplő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CC669F">
        <w:rPr>
          <w:rFonts w:ascii="Times New Roman" w:hAnsi="Times New Roman" w:cs="Times New Roman"/>
          <w:bCs/>
          <w:sz w:val="24"/>
          <w:szCs w:val="24"/>
        </w:rPr>
        <w:t>104030 számú Gyermekek napközbeni ellátása családi bölcsőde, munkahelyi bölcsőde, napközbeni gyermekfelügyelet vagy alternatív napközbeni ellátás útján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CC669F">
        <w:rPr>
          <w:rFonts w:ascii="Times New Roman" w:hAnsi="Times New Roman" w:cs="Times New Roman"/>
          <w:bCs/>
          <w:sz w:val="24"/>
          <w:szCs w:val="24"/>
        </w:rPr>
        <w:t xml:space="preserve"> elnevezésű szolgáltatás megegyezik a kért TEÁOR számmal.</w:t>
      </w:r>
    </w:p>
    <w:p w:rsidR="00CC669F" w:rsidRDefault="00BF40D0" w:rsidP="00D53B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intézményvezető tájékoztatása alapján a felvenni kért kormányzati funkcióhoz kapcsolódó tevékenységi kör ellátásához szükséges személyi feltételek adottak.</w:t>
      </w:r>
    </w:p>
    <w:p w:rsidR="00BF40D0" w:rsidRPr="00BF40D0" w:rsidRDefault="00BF40D0" w:rsidP="00D53B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B6F" w:rsidRPr="001F0CC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C7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="00A7092B">
        <w:rPr>
          <w:rFonts w:ascii="Times New Roman" w:hAnsi="Times New Roman" w:cs="Times New Roman"/>
          <w:b/>
          <w:sz w:val="24"/>
          <w:szCs w:val="24"/>
        </w:rPr>
        <w:t>478/2020. (XI. 3.</w:t>
      </w:r>
      <w:r w:rsidRPr="001F0CC7">
        <w:rPr>
          <w:rFonts w:ascii="Times New Roman" w:hAnsi="Times New Roman" w:cs="Times New Roman"/>
          <w:b/>
          <w:sz w:val="24"/>
          <w:szCs w:val="24"/>
        </w:rPr>
        <w:t>) Korm. rendeletével</w:t>
      </w:r>
      <w:r w:rsidRPr="001F0CC7">
        <w:rPr>
          <w:rFonts w:ascii="Times New Roman" w:hAnsi="Times New Roman" w:cs="Times New Roman"/>
          <w:sz w:val="24"/>
          <w:szCs w:val="24"/>
        </w:rPr>
        <w:t xml:space="preserve"> </w:t>
      </w:r>
      <w:r w:rsidR="001F0CC7">
        <w:rPr>
          <w:rFonts w:ascii="Times New Roman" w:hAnsi="Times New Roman" w:cs="Times New Roman"/>
          <w:sz w:val="24"/>
          <w:szCs w:val="24"/>
        </w:rPr>
        <w:t>az</w:t>
      </w:r>
      <w:r w:rsidR="001F0CC7" w:rsidRPr="001F0CC7">
        <w:rPr>
          <w:rFonts w:ascii="Times New Roman" w:hAnsi="Times New Roman" w:cs="Times New Roman"/>
          <w:sz w:val="24"/>
          <w:szCs w:val="24"/>
        </w:rPr>
        <w:t xml:space="preserve"> élet- és vagyonbiztonságot veszélyeztető tömeges megbetegedést okozó SARS-CoV-2 koronavírus világjárvány (a továbbiakban: koronavírus világjárvány) </w:t>
      </w:r>
      <w:r w:rsidR="001F0CC7">
        <w:rPr>
          <w:rFonts w:ascii="Times New Roman" w:hAnsi="Times New Roman" w:cs="Times New Roman"/>
          <w:sz w:val="24"/>
          <w:szCs w:val="24"/>
        </w:rPr>
        <w:t>következményeinek elhárítása, a</w:t>
      </w:r>
      <w:r w:rsidR="001F0CC7" w:rsidRPr="001F0CC7">
        <w:rPr>
          <w:rFonts w:ascii="Times New Roman" w:hAnsi="Times New Roman" w:cs="Times New Roman"/>
          <w:sz w:val="24"/>
          <w:szCs w:val="24"/>
        </w:rPr>
        <w:t xml:space="preserve"> magyar állampolgárok egészségének és életének megóvása érdekében Magyarország egész területére veszélyhelyzetet hirdet ki 2020. november 4. napjától.</w:t>
      </w:r>
    </w:p>
    <w:p w:rsidR="00A7092B" w:rsidRPr="00187117" w:rsidRDefault="00A7092B" w:rsidP="00D53B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 xml:space="preserve">Tiszavasvári, 2020. </w:t>
      </w:r>
      <w:r w:rsidR="00A7092B">
        <w:rPr>
          <w:rFonts w:ascii="Times New Roman" w:hAnsi="Times New Roman" w:cs="Times New Roman"/>
          <w:sz w:val="24"/>
          <w:szCs w:val="24"/>
        </w:rPr>
        <w:t>dec</w:t>
      </w:r>
      <w:r w:rsidR="009461FF">
        <w:rPr>
          <w:rFonts w:ascii="Times New Roman" w:hAnsi="Times New Roman" w:cs="Times New Roman"/>
          <w:sz w:val="24"/>
          <w:szCs w:val="24"/>
        </w:rPr>
        <w:t xml:space="preserve">ember </w:t>
      </w:r>
      <w:r w:rsidR="00A7092B">
        <w:rPr>
          <w:rFonts w:ascii="Times New Roman" w:hAnsi="Times New Roman" w:cs="Times New Roman"/>
          <w:sz w:val="24"/>
          <w:szCs w:val="24"/>
        </w:rPr>
        <w:t>17</w:t>
      </w:r>
      <w:r w:rsidR="009461FF">
        <w:rPr>
          <w:rFonts w:ascii="Times New Roman" w:hAnsi="Times New Roman" w:cs="Times New Roman"/>
          <w:sz w:val="24"/>
          <w:szCs w:val="24"/>
        </w:rPr>
        <w:t>.</w:t>
      </w: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2B" w:rsidRPr="00187117" w:rsidRDefault="00A7092B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8711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94E" w:rsidRPr="00187117" w:rsidRDefault="004B294E" w:rsidP="004B2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94E" w:rsidRPr="00830BB2" w:rsidRDefault="004B294E" w:rsidP="004B2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159</w:t>
      </w:r>
      <w:r w:rsidRPr="00187117">
        <w:rPr>
          <w:rFonts w:ascii="Times New Roman" w:hAnsi="Times New Roman" w:cs="Times New Roman"/>
          <w:sz w:val="24"/>
          <w:szCs w:val="24"/>
        </w:rPr>
        <w:t xml:space="preserve">/2020. polgármesteri határozat </w:t>
      </w:r>
      <w:r>
        <w:rPr>
          <w:rFonts w:ascii="Times New Roman" w:hAnsi="Times New Roman" w:cs="Times New Roman"/>
          <w:sz w:val="24"/>
          <w:szCs w:val="24"/>
        </w:rPr>
        <w:t xml:space="preserve">1. sz. </w:t>
      </w:r>
      <w:r w:rsidRPr="00187117">
        <w:rPr>
          <w:rFonts w:ascii="Times New Roman" w:hAnsi="Times New Roman" w:cs="Times New Roman"/>
          <w:sz w:val="24"/>
          <w:szCs w:val="24"/>
        </w:rPr>
        <w:t>melléklete</w:t>
      </w:r>
    </w:p>
    <w:p w:rsidR="004B294E" w:rsidRPr="00873087" w:rsidRDefault="004B294E" w:rsidP="004B294E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i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Okirat száma: TPH/13232-19</w:t>
      </w:r>
      <w:r w:rsidRPr="00873087">
        <w:rPr>
          <w:rFonts w:asciiTheme="majorHAnsi" w:eastAsia="Calibri" w:hAnsiTheme="majorHAnsi" w:cs="Times New Roman"/>
          <w:lang w:eastAsia="hu-HU"/>
        </w:rPr>
        <w:t>/2020.</w:t>
      </w:r>
    </w:p>
    <w:p w:rsidR="004B294E" w:rsidRPr="00873087" w:rsidRDefault="004B294E" w:rsidP="004B294E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Theme="majorHAnsi" w:eastAsia="Calibri" w:hAnsiTheme="majorHAnsi" w:cs="Times New Roman"/>
          <w:sz w:val="40"/>
          <w:szCs w:val="40"/>
          <w:lang w:eastAsia="hu-HU"/>
        </w:rPr>
      </w:pPr>
      <w:r w:rsidRPr="00873087">
        <w:rPr>
          <w:rFonts w:asciiTheme="majorHAnsi" w:eastAsia="Calibri" w:hAnsiTheme="majorHAnsi" w:cs="Times New Roman"/>
          <w:sz w:val="40"/>
          <w:szCs w:val="40"/>
          <w:lang w:eastAsia="hu-HU"/>
        </w:rPr>
        <w:t>Módosító okirat</w:t>
      </w:r>
    </w:p>
    <w:p w:rsidR="004B294E" w:rsidRPr="00873087" w:rsidRDefault="004B294E" w:rsidP="004B294E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A7092B">
        <w:rPr>
          <w:rFonts w:asciiTheme="majorHAnsi" w:eastAsia="Calibri" w:hAnsiTheme="majorHAnsi" w:cs="Times New Roman"/>
          <w:b/>
          <w:lang w:eastAsia="hu-HU"/>
        </w:rPr>
        <w:t>A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proofErr w:type="spellStart"/>
      <w:r w:rsidRPr="00873087">
        <w:rPr>
          <w:rFonts w:asciiTheme="majorHAnsi" w:eastAsia="Calibri" w:hAnsiTheme="majorHAnsi" w:cs="Times New Roman"/>
          <w:b/>
          <w:lang w:eastAsia="hu-HU"/>
        </w:rPr>
        <w:t>Kornisné</w:t>
      </w:r>
      <w:proofErr w:type="spellEnd"/>
      <w:r w:rsidRPr="00873087">
        <w:rPr>
          <w:rFonts w:asciiTheme="majorHAnsi" w:eastAsia="Calibri" w:hAnsiTheme="majorHAnsi" w:cs="Times New Roman"/>
          <w:b/>
          <w:lang w:eastAsia="hu-HU"/>
        </w:rPr>
        <w:t xml:space="preserve"> </w:t>
      </w:r>
      <w:proofErr w:type="spellStart"/>
      <w:r w:rsidRPr="00873087">
        <w:rPr>
          <w:rFonts w:asciiTheme="majorHAnsi" w:eastAsia="Calibri" w:hAnsiTheme="majorHAnsi" w:cs="Times New Roman"/>
          <w:b/>
          <w:lang w:eastAsia="hu-HU"/>
        </w:rPr>
        <w:t>Liptay</w:t>
      </w:r>
      <w:proofErr w:type="spellEnd"/>
      <w:r w:rsidRPr="00873087">
        <w:rPr>
          <w:rFonts w:asciiTheme="majorHAnsi" w:eastAsia="Calibri" w:hAnsiTheme="majorHAnsi" w:cs="Times New Roman"/>
          <w:b/>
          <w:lang w:eastAsia="hu-HU"/>
        </w:rPr>
        <w:t xml:space="preserve"> Elza Szociális és Gyermekjóléti Központ, Tiszavasvári Város </w:t>
      </w:r>
      <w:r>
        <w:rPr>
          <w:rFonts w:asciiTheme="majorHAnsi" w:eastAsia="Calibri" w:hAnsiTheme="majorHAnsi" w:cs="Times New Roman"/>
          <w:b/>
          <w:lang w:eastAsia="hu-HU"/>
        </w:rPr>
        <w:t>Polgármestere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 xml:space="preserve">által </w:t>
      </w:r>
      <w:r w:rsidRPr="00AB299E">
        <w:rPr>
          <w:rFonts w:asciiTheme="majorHAnsi" w:eastAsia="Calibri" w:hAnsiTheme="majorHAnsi" w:cs="Times New Roman"/>
          <w:b/>
          <w:lang w:eastAsia="hu-HU"/>
        </w:rPr>
        <w:t xml:space="preserve">2020. </w:t>
      </w:r>
      <w:r>
        <w:rPr>
          <w:rFonts w:asciiTheme="majorHAnsi" w:eastAsia="Calibri" w:hAnsiTheme="majorHAnsi" w:cs="Times New Roman"/>
          <w:b/>
          <w:lang w:eastAsia="hu-HU"/>
        </w:rPr>
        <w:t>november 25</w:t>
      </w:r>
      <w:r w:rsidRPr="00AB299E">
        <w:rPr>
          <w:rFonts w:asciiTheme="majorHAnsi" w:eastAsia="Calibri" w:hAnsiTheme="majorHAnsi" w:cs="Times New Roman"/>
          <w:b/>
          <w:lang w:eastAsia="hu-HU"/>
        </w:rPr>
        <w:t xml:space="preserve">. napján kiadott, </w:t>
      </w:r>
      <w:r>
        <w:rPr>
          <w:rFonts w:asciiTheme="majorHAnsi" w:eastAsia="Calibri" w:hAnsiTheme="majorHAnsi" w:cs="Times New Roman"/>
          <w:b/>
          <w:lang w:eastAsia="hu-HU"/>
        </w:rPr>
        <w:t>TPH/13232-10</w:t>
      </w:r>
      <w:r w:rsidRPr="00AB299E">
        <w:rPr>
          <w:rFonts w:asciiTheme="majorHAnsi" w:eastAsia="Calibri" w:hAnsiTheme="majorHAnsi" w:cs="Times New Roman"/>
          <w:b/>
          <w:lang w:eastAsia="hu-HU"/>
        </w:rPr>
        <w:t>/2020.</w:t>
      </w:r>
      <w:r>
        <w:rPr>
          <w:rFonts w:asciiTheme="majorHAnsi" w:eastAsia="Calibri" w:hAnsiTheme="majorHAnsi" w:cs="Times New Roman"/>
          <w:b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 xml:space="preserve"> számú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>alapító okiratát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az államháztartásról szóló 2011. évi CXCV. törvény 8/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>. §</w:t>
      </w:r>
      <w:proofErr w:type="spell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-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spellEnd"/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 xml:space="preserve"> alapján – Tiszavasvári Város </w:t>
      </w:r>
      <w:r>
        <w:rPr>
          <w:rFonts w:asciiTheme="majorHAnsi" w:eastAsia="Calibri" w:hAnsiTheme="majorHAnsi" w:cs="Times New Roman"/>
          <w:b/>
          <w:bCs/>
          <w:lang w:eastAsia="hu-HU"/>
        </w:rPr>
        <w:t>Polgármesterének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 xml:space="preserve"> </w:t>
      </w:r>
      <w:r w:rsidRPr="00F718FC">
        <w:rPr>
          <w:rFonts w:asciiTheme="majorHAnsi" w:eastAsia="Calibri" w:hAnsiTheme="majorHAnsi" w:cs="Times New Roman"/>
          <w:b/>
          <w:bCs/>
          <w:lang w:eastAsia="hu-HU"/>
        </w:rPr>
        <w:t>159/2020.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 xml:space="preserve"> (X</w:t>
      </w:r>
      <w:r>
        <w:rPr>
          <w:rFonts w:asciiTheme="majorHAnsi" w:eastAsia="Calibri" w:hAnsiTheme="majorHAnsi" w:cs="Times New Roman"/>
          <w:b/>
          <w:bCs/>
          <w:lang w:eastAsia="hu-HU"/>
        </w:rPr>
        <w:t>II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.</w:t>
      </w:r>
      <w:r>
        <w:rPr>
          <w:rFonts w:asciiTheme="majorHAnsi" w:eastAsia="Calibri" w:hAnsiTheme="majorHAnsi" w:cs="Times New Roman"/>
          <w:b/>
          <w:bCs/>
          <w:lang w:eastAsia="hu-HU"/>
        </w:rPr>
        <w:t xml:space="preserve">17.) 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határozatára figyelemmel – a következők szerint módosítom:</w:t>
      </w:r>
    </w:p>
    <w:p w:rsidR="004B294E" w:rsidRPr="00873087" w:rsidRDefault="004B294E" w:rsidP="004B294E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4B294E" w:rsidRPr="004B2520" w:rsidRDefault="004B294E" w:rsidP="004B294E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B2520">
        <w:rPr>
          <w:rFonts w:asciiTheme="majorHAnsi" w:eastAsia="Calibri" w:hAnsiTheme="majorHAnsi" w:cs="Times New Roman"/>
        </w:rPr>
        <w:t>1.</w:t>
      </w:r>
      <w:r>
        <w:rPr>
          <w:rFonts w:asciiTheme="majorHAnsi" w:eastAsia="Calibri" w:hAnsiTheme="majorHAnsi" w:cs="Times New Roman"/>
        </w:rPr>
        <w:t xml:space="preserve"> </w:t>
      </w:r>
      <w:r w:rsidRPr="004B2520">
        <w:rPr>
          <w:rFonts w:asciiTheme="majorHAnsi" w:eastAsia="Calibri" w:hAnsiTheme="majorHAnsi" w:cs="Times New Roman"/>
        </w:rPr>
        <w:t>Az alapító okirat 4.3. pontja helyébe az alábbi rendelkezés lép:</w:t>
      </w:r>
    </w:p>
    <w:p w:rsidR="004B294E" w:rsidRPr="00873087" w:rsidRDefault="004B294E" w:rsidP="004B294E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4B2520">
        <w:rPr>
          <w:rFonts w:asciiTheme="majorHAnsi" w:hAnsiTheme="majorHAnsi"/>
        </w:rPr>
        <w:t>„</w:t>
      </w: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alaptevékenysége: 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 Szociális alapellátások: Étkeztetés, nappali ellátás, házi segítségnyújtás, jelzőrendszeres házi segítségnyújtás, támogató szolgálat, idősek-, fogyatékos személyek otthona,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4.3.1.1 Étkeztetés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szociálisan rászorultaknak a legalább napi egyszeri meleg étkeztetés biztosítása, amennyiben önmaguknak, illetve önmaguk és eltartottjaik részére tartósan, vagy átmeneti jelleggel nem képesek azt biztosítani.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4.3.1.2 Házi segítségnyújtás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szolgáltatást igénybe vevő személy saját lakókörnyezetében kell biztosítani az önálló életvitel fenntartása érdekében szükséges ellátást.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4.3.1.3 Jelzőrendszeres házi segítségnyújtás </w:t>
      </w:r>
    </w:p>
    <w:p w:rsidR="004B294E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4.3.1.4 Támogató szolgáltatás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fogyatékos személyek lakókörnyezetben történő ellátása, elsősorban a lakáson kívüli közszolgáltatások elérésének segítése, valamint életvitelük önállóságának megőrzése mellett a lakáson belüli speciális segítségnyújtás biztosítása révén.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4.3.1.5 Nappali ellátás – Idősek klubja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hajléktalan személyek és, elsősorban a saját otthonukban élő, tizennyolcadik életévüket betöltött, egészségi állapotuk vagy idős koruk miatt szociális és mentális támogatásra szoruló, önmaguk ellátására részben képes személyek részére biztosít lehetőséget a napközbeni tartózkodásra, társas kapcsolatokra, valamint az alapvető higiéniai szükségleteik kielégítésére, továbbá igény szerint megszervezi az ellátottak napközbeni étkeztetését.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 Szociális intézményi ellátás: Ápolást, gondozást nyújtó intézmény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4.3.2.1 Fogyatékos ápoló-gondozó otthoni ellátás (székhelyen végzett tevékenység)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4.3.2.2 Idősek ápoló-gondozó otthoni ellátás (székhelyen végzett tevékenység)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4.3.2.3 Egészségügyi ápolás bentlakással: az egészségi állapot javítását, az egészség megőrzését és helyreállítását, a beteg állapotának stabilizálását, a betegségek megelőzését, a szenvedések enyhítését, a beteg környezetének az ápolási feladatokban történő részvételre való felkészítését szolgáló egészségügyi ápolási, gondozási feladatokkal összefüggő feladatok ellátása.</w:t>
      </w:r>
    </w:p>
    <w:p w:rsidR="004B294E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4.3.2.4 Bentlakásos, nem kórházi ellátás, ápolás: az idősek otthonában ápolással, az utógondozással, lábadozó beteg intézeti ápolásával, szeretetotthoni ellátással, ápolással, bentlakásos ápolással összefüggő feladatok ellátása.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 xml:space="preserve">4.3.2.5 </w:t>
      </w:r>
      <w:proofErr w:type="spellStart"/>
      <w:r>
        <w:rPr>
          <w:rFonts w:asciiTheme="majorHAnsi" w:eastAsia="Times New Roman" w:hAnsiTheme="majorHAnsi" w:cs="Times New Roman"/>
          <w:lang w:eastAsia="hu-HU"/>
        </w:rPr>
        <w:t>Demens</w:t>
      </w:r>
      <w:proofErr w:type="spellEnd"/>
      <w:r>
        <w:rPr>
          <w:rFonts w:asciiTheme="majorHAnsi" w:eastAsia="Times New Roman" w:hAnsiTheme="majorHAnsi" w:cs="Times New Roman"/>
          <w:lang w:eastAsia="hu-HU"/>
        </w:rPr>
        <w:t xml:space="preserve"> betegek tartós bentlakásos ellátása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 Gyermekvédelmi alapellátások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4.3.3.1 Család- és gyermekjóléti központ: Család- és gyermekjóléti központnak az a járásszékhely településen működő gyermekjóléti szolgálat minősül, amely önálló intézményként, illetve szervezeti és szakmai szempontból önálló intézményegységként működik. A gyermekjóléti központ a gyermekjóléti szolgálatnak a gyermekek védelméről és a gyámügyi igazgatásról szóló 1997. évi XXXI. törvény (Gyvt.) 39. §, a 40. § (2) bekezdése és a szociális igazgatásról és a szociális ellátásról szóló 1993. évi III. törvény (Szt.) 64. § (4) bekezdése szerinti általános szolgáltatási feladatain túl a gyermek családban nevelkedésének elősegítése, a gyermek veszélyeztetettségének megelőzése érdekében a gyermek igényeinek és szükségleteinek megfelelő önálló egyéni és csoportos speciális szolgáltatásokat, programokat nyújt; a gyermekvédelmi gondoskodás keretébe tartozó hatósági intézkedésekhez kapcsolódó, a gyermekek védelmére irányuló tevékenységet lát el; szakmai támogatást nyújt az ellátási területén működő gyermekjóléti szolgálatok számára.</w:t>
      </w:r>
    </w:p>
    <w:p w:rsidR="004B294E" w:rsidRPr="00873087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4.3.3.2 Család- és gyermekjóléti szolgálat: Gyermekjóléti szolgáltatás a családsegítéssel egy szolgáltató – a család- és gyermekjóléti szolgálat keretében működtethető. A gyermekjóléti szolgálat ellátja a Gyvt. 39. § és a (2) bekezdés szerinti gyermekjóléti szolgáltatási feladatokat, valamint a családsegítés Szt. 64. § (4) bekezdése szerinti feladatait.</w:t>
      </w:r>
    </w:p>
    <w:p w:rsidR="004B294E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4.3.4 Településfejlesztési projektek és támogatásuk, pályázatok megvalósítása</w:t>
      </w:r>
    </w:p>
    <w:p w:rsidR="004B294E" w:rsidRPr="005212AE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5212AE">
        <w:rPr>
          <w:rFonts w:asciiTheme="majorHAnsi" w:eastAsia="Times New Roman" w:hAnsiTheme="majorHAnsi" w:cs="Times New Roman"/>
          <w:lang w:eastAsia="hu-HU"/>
        </w:rPr>
        <w:t>4.3.5 Gyermekek napközbeni ellátása családi bölcsőde, munkahelyi bölcsőde, napközbeni gyermekfelügyelet vagy alternatív napközbeni ellátás útján</w:t>
      </w:r>
    </w:p>
    <w:p w:rsidR="004B294E" w:rsidRDefault="004B294E" w:rsidP="004B294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4B294E" w:rsidRPr="00873087" w:rsidRDefault="004B294E" w:rsidP="004B294E">
      <w:pPr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2</w:t>
      </w:r>
      <w:r w:rsidRPr="00873087">
        <w:rPr>
          <w:rFonts w:asciiTheme="majorHAnsi" w:eastAsia="Calibri" w:hAnsiTheme="majorHAnsi" w:cs="Times New Roman"/>
        </w:rPr>
        <w:t>. Az alapító okirat 4.4. pontja helyébe az alábbi rendelkezés lép:</w:t>
      </w:r>
    </w:p>
    <w:p w:rsidR="004B294E" w:rsidRPr="005212AE" w:rsidRDefault="004B294E" w:rsidP="004B294E">
      <w:pPr>
        <w:tabs>
          <w:tab w:val="left" w:leader="dot" w:pos="9072"/>
        </w:tabs>
        <w:spacing w:before="240" w:after="12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„</w:t>
      </w:r>
      <w:r w:rsidRPr="005212AE">
        <w:rPr>
          <w:rFonts w:asciiTheme="majorHAnsi" w:eastAsia="Times New Roman" w:hAnsiTheme="majorHAnsi" w:cs="Times New Roman"/>
          <w:lang w:eastAsia="hu-HU"/>
        </w:rPr>
        <w:t>A költségvetési szerv alaptevékenységének kormányzati funkció szerinti megjelölése:</w:t>
      </w:r>
    </w:p>
    <w:tbl>
      <w:tblPr>
        <w:tblStyle w:val="Rcsostblzat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kormányzati funkció megnevezése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062020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Településfejlesztési projektek és támogatásuk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072410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Otthoni (egészségügyi) szakápolás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073410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Egészségügyi ápolás bentlakással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101110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Bentlakásos, nem kórházi ellátás, ápolás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5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101211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Fogyatékossággal élők tartós bentlakásos ellátása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6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101222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Támogató szolgáltatás fogyatékos személyek részére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7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102023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Időskorúak tartós bentlakásos ellátása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8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102024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5212AE">
              <w:rPr>
                <w:rFonts w:asciiTheme="majorHAnsi" w:hAnsiTheme="majorHAnsi"/>
                <w:lang w:eastAsia="hu-HU"/>
              </w:rPr>
              <w:t>Demens</w:t>
            </w:r>
            <w:proofErr w:type="spellEnd"/>
            <w:r w:rsidRPr="005212AE">
              <w:rPr>
                <w:rFonts w:asciiTheme="majorHAnsi" w:hAnsiTheme="majorHAnsi"/>
                <w:lang w:eastAsia="hu-HU"/>
              </w:rPr>
              <w:t xml:space="preserve"> betegek tartós bentlakásos ellátása</w:t>
            </w:r>
          </w:p>
        </w:tc>
      </w:tr>
      <w:tr w:rsidR="004B294E" w:rsidRPr="005212AE" w:rsidTr="00B919AB">
        <w:tblPrEx>
          <w:jc w:val="left"/>
        </w:tblPrEx>
        <w:tc>
          <w:tcPr>
            <w:tcW w:w="363" w:type="pct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9</w:t>
            </w:r>
          </w:p>
        </w:tc>
        <w:tc>
          <w:tcPr>
            <w:tcW w:w="1374" w:type="pct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102031</w:t>
            </w:r>
          </w:p>
        </w:tc>
        <w:tc>
          <w:tcPr>
            <w:tcW w:w="3263" w:type="pct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Idősek nappali ellátása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104030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11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104042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Család és gyermekjóléti szolgáltatások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12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104043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Család és gyermekjóléti központ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13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107051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Szociális étkeztetés szociális konyhán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14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107052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Házi segítségnyújtás</w:t>
            </w:r>
          </w:p>
        </w:tc>
      </w:tr>
      <w:tr w:rsidR="004B294E" w:rsidRPr="005212AE" w:rsidTr="00B919AB">
        <w:trPr>
          <w:jc w:val="center"/>
        </w:trPr>
        <w:tc>
          <w:tcPr>
            <w:tcW w:w="3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15</w:t>
            </w:r>
          </w:p>
        </w:tc>
        <w:tc>
          <w:tcPr>
            <w:tcW w:w="1374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107053</w:t>
            </w:r>
          </w:p>
        </w:tc>
        <w:tc>
          <w:tcPr>
            <w:tcW w:w="3263" w:type="pct"/>
            <w:vAlign w:val="center"/>
          </w:tcPr>
          <w:p w:rsidR="004B294E" w:rsidRPr="005212AE" w:rsidRDefault="004B294E" w:rsidP="00B919A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5212AE">
              <w:rPr>
                <w:rFonts w:asciiTheme="majorHAnsi" w:hAnsiTheme="majorHAnsi"/>
                <w:lang w:eastAsia="hu-HU"/>
              </w:rPr>
              <w:t>Jelzőrendszeres házi segítségnyújtás</w:t>
            </w:r>
          </w:p>
        </w:tc>
      </w:tr>
    </w:tbl>
    <w:p w:rsidR="004B294E" w:rsidRDefault="004B294E" w:rsidP="004B294E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lastRenderedPageBreak/>
        <w:t>Jelen módosító okiratot a törzskönyvi nyilvántartásba történő bejegyzés napjától kell alkalmazni.</w:t>
      </w:r>
    </w:p>
    <w:p w:rsidR="004B294E" w:rsidRDefault="004B294E" w:rsidP="004B294E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4B294E" w:rsidRPr="00873087" w:rsidRDefault="004B294E" w:rsidP="004B294E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Kelt: Tiszavasvári, 2020. időbélyegző szerint</w:t>
      </w:r>
    </w:p>
    <w:p w:rsidR="004B294E" w:rsidRPr="00873087" w:rsidRDefault="004B294E" w:rsidP="004B294E">
      <w:pPr>
        <w:tabs>
          <w:tab w:val="left" w:leader="dot" w:pos="9072"/>
          <w:tab w:val="left" w:leader="dot" w:pos="16443"/>
        </w:tabs>
        <w:spacing w:before="600" w:after="600" w:line="240" w:lineRule="auto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P.H.</w:t>
      </w:r>
    </w:p>
    <w:p w:rsidR="004B294E" w:rsidRPr="00873087" w:rsidRDefault="004B294E" w:rsidP="004B294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Szőke Zoltán</w:t>
      </w:r>
    </w:p>
    <w:p w:rsidR="004B294E" w:rsidRPr="00873087" w:rsidRDefault="004B294E" w:rsidP="004B294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proofErr w:type="gramStart"/>
      <w:r w:rsidRPr="00873087">
        <w:rPr>
          <w:rFonts w:asciiTheme="majorHAnsi" w:eastAsia="Calibri" w:hAnsiTheme="majorHAnsi" w:cs="Times New Roman"/>
          <w:lang w:eastAsia="hu-HU"/>
        </w:rPr>
        <w:t>polgármester</w:t>
      </w:r>
      <w:proofErr w:type="gramEnd"/>
    </w:p>
    <w:p w:rsidR="004B294E" w:rsidRPr="00873087" w:rsidRDefault="004B294E" w:rsidP="004B294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D60DA4" w:rsidRDefault="00D60DA4" w:rsidP="00D60DA4"/>
    <w:p w:rsidR="004B294E" w:rsidRDefault="004B294E" w:rsidP="00D60DA4"/>
    <w:p w:rsidR="00817160" w:rsidRPr="00830BB2" w:rsidRDefault="00F718F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159</w:t>
      </w:r>
      <w:r w:rsidR="00817160" w:rsidRPr="00187117">
        <w:rPr>
          <w:rFonts w:ascii="Times New Roman" w:hAnsi="Times New Roman" w:cs="Times New Roman"/>
          <w:sz w:val="24"/>
          <w:szCs w:val="24"/>
        </w:rPr>
        <w:t xml:space="preserve">/2020. polgármesteri határozat </w:t>
      </w:r>
      <w:r w:rsidR="00817160">
        <w:rPr>
          <w:rFonts w:ascii="Times New Roman" w:hAnsi="Times New Roman" w:cs="Times New Roman"/>
          <w:sz w:val="24"/>
          <w:szCs w:val="24"/>
        </w:rPr>
        <w:t xml:space="preserve">2. sz. </w:t>
      </w:r>
      <w:r w:rsidR="00817160" w:rsidRPr="00187117">
        <w:rPr>
          <w:rFonts w:ascii="Times New Roman" w:hAnsi="Times New Roman" w:cs="Times New Roman"/>
          <w:sz w:val="24"/>
          <w:szCs w:val="24"/>
        </w:rPr>
        <w:t>melléklete</w:t>
      </w:r>
    </w:p>
    <w:p w:rsidR="00564B19" w:rsidRPr="00873087" w:rsidRDefault="00564B19" w:rsidP="00564B19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i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Okirat száma: TPH/13232-</w:t>
      </w:r>
      <w:r w:rsidR="00BD09DA">
        <w:rPr>
          <w:rFonts w:asciiTheme="majorHAnsi" w:eastAsia="Calibri" w:hAnsiTheme="majorHAnsi" w:cs="Times New Roman"/>
          <w:lang w:eastAsia="hu-HU"/>
        </w:rPr>
        <w:t>20</w:t>
      </w:r>
      <w:r w:rsidRPr="00873087">
        <w:rPr>
          <w:rFonts w:asciiTheme="majorHAnsi" w:eastAsia="Calibri" w:hAnsiTheme="majorHAnsi" w:cs="Times New Roman"/>
          <w:lang w:eastAsia="hu-HU"/>
        </w:rPr>
        <w:t>/2020.</w:t>
      </w:r>
    </w:p>
    <w:p w:rsidR="00564B19" w:rsidRPr="00873087" w:rsidRDefault="00564B19" w:rsidP="00564B19">
      <w:pPr>
        <w:tabs>
          <w:tab w:val="left" w:leader="dot" w:pos="9072"/>
        </w:tabs>
        <w:spacing w:before="480" w:after="48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873087">
        <w:rPr>
          <w:rFonts w:asciiTheme="majorHAnsi" w:eastAsia="Times New Roman" w:hAnsiTheme="majorHAnsi" w:cs="Times New Roman"/>
          <w:sz w:val="40"/>
          <w:szCs w:val="24"/>
          <w:lang w:eastAsia="hu-HU"/>
        </w:rPr>
        <w:t>Alapító okirat</w:t>
      </w:r>
      <w:r w:rsidRPr="00873087">
        <w:rPr>
          <w:rFonts w:asciiTheme="majorHAnsi" w:eastAsia="Times New Roman" w:hAnsiTheme="majorHAnsi" w:cs="Times New Roman"/>
          <w:sz w:val="40"/>
          <w:szCs w:val="24"/>
          <w:lang w:eastAsia="hu-HU"/>
        </w:rPr>
        <w:br/>
      </w:r>
      <w:r w:rsidRPr="00873087">
        <w:rPr>
          <w:rFonts w:asciiTheme="majorHAnsi" w:eastAsia="Times New Roman" w:hAnsiTheme="majorHAnsi" w:cs="Times New Roman"/>
          <w:sz w:val="28"/>
          <w:szCs w:val="28"/>
          <w:lang w:eastAsia="hu-HU"/>
        </w:rPr>
        <w:t>módosításokkal egységes szerkezetbe foglalva</w:t>
      </w:r>
    </w:p>
    <w:p w:rsidR="00564B19" w:rsidRPr="00873087" w:rsidRDefault="00564B19" w:rsidP="00564B19">
      <w:pPr>
        <w:tabs>
          <w:tab w:val="left" w:leader="dot" w:pos="9072"/>
        </w:tabs>
        <w:spacing w:after="24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873087">
        <w:rPr>
          <w:rFonts w:asciiTheme="majorHAnsi" w:eastAsia="Times New Roman" w:hAnsiTheme="majorHAnsi" w:cs="Times New Roman"/>
          <w:b/>
          <w:lang w:eastAsia="hu-HU"/>
        </w:rPr>
        <w:t>Az államháztartásról szóló 2011. évi CXCV. törvény 8/</w:t>
      </w:r>
      <w:proofErr w:type="gramStart"/>
      <w:r w:rsidRPr="00873087">
        <w:rPr>
          <w:rFonts w:asciiTheme="majorHAnsi" w:eastAsia="Times New Roman" w:hAnsiTheme="majorHAnsi" w:cs="Times New Roman"/>
          <w:b/>
          <w:lang w:eastAsia="hu-HU"/>
        </w:rPr>
        <w:t>A</w:t>
      </w:r>
      <w:proofErr w:type="gramEnd"/>
      <w:r w:rsidRPr="00873087">
        <w:rPr>
          <w:rFonts w:asciiTheme="majorHAnsi" w:eastAsia="Times New Roman" w:hAnsiTheme="majorHAnsi" w:cs="Times New Roman"/>
          <w:b/>
          <w:lang w:eastAsia="hu-HU"/>
        </w:rPr>
        <w:t>. §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-</w:t>
      </w:r>
      <w:proofErr w:type="gramStart"/>
      <w:r w:rsidRPr="00873087">
        <w:rPr>
          <w:rFonts w:asciiTheme="majorHAnsi" w:eastAsia="Times New Roman" w:hAnsiTheme="majorHAnsi" w:cs="Times New Roman"/>
          <w:b/>
          <w:lang w:eastAsia="hu-HU"/>
        </w:rPr>
        <w:t>a</w:t>
      </w:r>
      <w:proofErr w:type="spellEnd"/>
      <w:proofErr w:type="gram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alapján a(z) 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Liptay</w:t>
      </w:r>
      <w:proofErr w:type="spell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Elza Szociális és Gyermekjóléti Központ alapító okiratát a következők szerint adom ki:</w:t>
      </w:r>
    </w:p>
    <w:p w:rsidR="00564B19" w:rsidRPr="00873087" w:rsidRDefault="00564B19" w:rsidP="00564B19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megnevezése, székhelye, telephelye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megnevezése: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Liptay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Elza Szociális és Gyermekjóléti Központ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rövidített neve: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Központ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Vasvári Pál utca 87.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12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873087">
        <w:rPr>
          <w:rFonts w:asciiTheme="majorHAnsi" w:eastAsia="Times New Roman" w:hAnsiTheme="majorHAnsi" w:cs="Times New Roman"/>
          <w:lang w:eastAsia="hu-HU"/>
        </w:rPr>
        <w:t>telephelye(</w:t>
      </w:r>
      <w:proofErr w:type="gramEnd"/>
      <w:r w:rsidRPr="00873087">
        <w:rPr>
          <w:rFonts w:asciiTheme="majorHAnsi" w:eastAsia="Times New Roman" w:hAnsiTheme="majorHAnsi" w:cs="Times New Roman"/>
          <w:lang w:eastAsia="hu-HU"/>
        </w:rPr>
        <w:t>i):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6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címe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6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Étkeztetés, házi segítségnyújtás, jelzőrendszeres házi segítségnyújtás, idősek nappali ellátása, család- és gyermekjóléti szolgálat</w:t>
            </w:r>
          </w:p>
        </w:tc>
        <w:tc>
          <w:tcPr>
            <w:tcW w:w="227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Hősök utca 38.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6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Támogató Szolgálat</w:t>
            </w:r>
          </w:p>
        </w:tc>
        <w:tc>
          <w:tcPr>
            <w:tcW w:w="227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Ady E. utca 8.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2366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Család- és gyermekjóléti központ</w:t>
            </w:r>
          </w:p>
        </w:tc>
        <w:tc>
          <w:tcPr>
            <w:tcW w:w="227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Vasvári Pál utca 6.</w:t>
            </w:r>
          </w:p>
        </w:tc>
      </w:tr>
    </w:tbl>
    <w:p w:rsidR="00564B19" w:rsidRPr="00873087" w:rsidRDefault="00564B19" w:rsidP="00564B19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alapításának dátuma: 2013. július 1.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alapítására, átalakítására, megszüntetésére jogosult szerv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megnevezése: Tiszavasvári Város Önkormányzata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564B19" w:rsidRDefault="00564B19" w:rsidP="00564B19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64B19" w:rsidRDefault="00564B19" w:rsidP="00564B19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64B19" w:rsidRPr="00873087" w:rsidRDefault="00564B19" w:rsidP="00564B19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A költségvetési szerv jogelőd költségvetési szervének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7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székhelye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7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Tiszavasvári Többcélú Kistérségi Társulás Tiszavasvári Szociális és Egészségügyi Szolgáltató Központja</w:t>
            </w:r>
          </w:p>
        </w:tc>
        <w:tc>
          <w:tcPr>
            <w:tcW w:w="227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Vasvári Pál utca 87.</w:t>
            </w:r>
          </w:p>
        </w:tc>
      </w:tr>
    </w:tbl>
    <w:p w:rsidR="00564B19" w:rsidRPr="00873087" w:rsidRDefault="00564B19" w:rsidP="00564B19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irányítása, felügyelete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</w:t>
      </w:r>
      <w:proofErr w:type="gramStart"/>
      <w:r w:rsidRPr="00873087">
        <w:rPr>
          <w:rFonts w:asciiTheme="majorHAnsi" w:eastAsia="Times New Roman" w:hAnsiTheme="majorHAnsi" w:cs="Times New Roman"/>
          <w:lang w:eastAsia="hu-HU"/>
        </w:rPr>
        <w:t>szerv irányító</w:t>
      </w:r>
      <w:proofErr w:type="gramEnd"/>
      <w:r w:rsidRPr="00873087">
        <w:rPr>
          <w:rFonts w:asciiTheme="majorHAnsi" w:eastAsia="Times New Roman" w:hAnsiTheme="majorHAnsi" w:cs="Times New Roman"/>
          <w:lang w:eastAsia="hu-HU"/>
        </w:rPr>
        <w:t xml:space="preserve"> szervének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megnevezése: Tiszavasvári Város Önkormányzata Képviselő-testülete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fenntartójának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 megnevezése: Tiszavasvári Város Önkormányzata</w:t>
      </w:r>
    </w:p>
    <w:p w:rsidR="00564B19" w:rsidRPr="00873087" w:rsidRDefault="00564B19" w:rsidP="00564B19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564B19" w:rsidRPr="00873087" w:rsidRDefault="00564B19" w:rsidP="00564B19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tevékenysége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közfeladata: Az intézmény szakmai programjában meghatározott szociális-, és gyermekvédelmi alapellátások. Magyarország helyi önkormányzatairól szóló 2011. évi CLXXXIX. törvény rendelkezései alapján ellátott feladat.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főtevékenységének államháztartási szakágazati besorolása: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22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szakágazat megnevezése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220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873000</w:t>
            </w:r>
          </w:p>
        </w:tc>
        <w:tc>
          <w:tcPr>
            <w:tcW w:w="3416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Idősek, fogyatékosok bentlakásos ellátása</w:t>
            </w:r>
          </w:p>
        </w:tc>
      </w:tr>
    </w:tbl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alaptevékenysége: 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 Szociális alapellátások: Étkeztetés, nappali ellátás, házi segítségnyújtás, jelzőrendszeres házi segítségnyújtás, támogató szolgálat, idősek-, fogyatékos személyek otthona,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4.3.1.1 Étkeztetés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szociálisan rászorultaknak a legalább napi egyszeri meleg étkeztetés biztosítása, amennyiben önmaguknak, illetve önmaguk és eltartottjaik részére tartósan, vagy átmeneti jelleggel nem képesek azt biztosítani.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4.3.1.2 Házi segítségnyújtás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szolgáltatást igénybe vevő személy saját lakókörnyezetében kell biztosítani az önálló életvitel fenntartása érdekében szükséges ellátást.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4.3.1.3 Jelzőrendszeres házi segítségnyújtás 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</w:t>
      </w:r>
    </w:p>
    <w:p w:rsidR="00564B19" w:rsidRDefault="00564B19" w:rsidP="00564B19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4B294E" w:rsidRDefault="004B294E" w:rsidP="00564B19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4B294E" w:rsidRDefault="004B294E" w:rsidP="00564B19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4.3.1.4 Támogató szolgáltatás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fogyatékos személyek lakókörnyezetben történő ellátása, elsősorban a lakáson kívüli közszolgáltatások elérésének segítése, valamint életvitelük önállóságának megőrzése mellett a lakáson belüli speciális segítségnyújtás biztosítása révén.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4.3.1.5 Nappali ellátás – Idősek klubja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hajléktalan személyek és, elsősorban a saját otthonukban élő, tizennyolcadik életévüket betöltött, egészségi állapotuk vagy idős koruk miatt szociális és mentális támogatásra szoruló, önmaguk ellátására részben képes személyek részére biztosít lehetőséget a napközbeni tartózkodásra, társas kapcsolatokra, valamint az alapvető higiéniai szükségleteik kielégítésére, továbbá igény szerint megszervezi az ellátottak napközbeni étkeztetését.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 Szociális intézményi ellátás: Ápolást, gondozást nyújtó intézmény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4.3.2.1 Fogyatékos ápoló-gondozó otthoni ellátás (székhelyen végzett tevékenység)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4.3.2.2 Idősek ápoló-gondozó otthoni ellátás (székhelyen végzett tevékenység)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4.3.2.3 Egészségügyi ápolás bentlakással: az egészségi állapot javítását, az egészség megőrzését és helyreállítását, a beteg állapotának stabilizálását, a betegségek megelőzését, a szenvedések enyhítését, a beteg környezetének az ápolási feladatokban történő részvételre való felkészítését szolgáló egészségügyi ápolási, gondozási feladatokkal összefüggő feladatok ellátása.</w:t>
      </w:r>
    </w:p>
    <w:p w:rsidR="00564B19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4.3.2.4 Bentlakásos, nem kórházi ellátás, ápolás: az idősek otthonában ápolással, az utógondozással, lábadozó beteg intézeti ápolásával, szeretetotthoni ellátással, ápolással, bentlakásos ápolással összefüggő feladatok ellátása.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 xml:space="preserve">4.3.2.5 </w:t>
      </w:r>
      <w:proofErr w:type="spellStart"/>
      <w:r>
        <w:rPr>
          <w:rFonts w:asciiTheme="majorHAnsi" w:eastAsia="Times New Roman" w:hAnsiTheme="majorHAnsi" w:cs="Times New Roman"/>
          <w:lang w:eastAsia="hu-HU"/>
        </w:rPr>
        <w:t>Demens</w:t>
      </w:r>
      <w:proofErr w:type="spellEnd"/>
      <w:r>
        <w:rPr>
          <w:rFonts w:asciiTheme="majorHAnsi" w:eastAsia="Times New Roman" w:hAnsiTheme="majorHAnsi" w:cs="Times New Roman"/>
          <w:lang w:eastAsia="hu-HU"/>
        </w:rPr>
        <w:t xml:space="preserve"> betegek tartós bentlakásos ellátása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 Gyermekvédelmi alapellátások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4.3.3.1 Család- és gyermekjóléti központ: Család- és gyermekjóléti központnak az a járásszékhely településen működő gyermekjóléti szolgálat minősül, amely önálló intézményként, illetve szervezeti és szakmai szempontból önálló intézményegységként működik. A gyermekjóléti központ a gyermekjóléti szolgálatnak a gyermekek védelméről és a gyámügyi igazgatásról szóló 1997. évi XXXI. törvény (Gyvt.) 39. §, a 40. § (2) bekezdése és a szociális igazgatásról és a szociális ellátásról szóló 1993. évi III. törvény (Szt.) 64. § (4) bekezdése szerinti általános szolgáltatási feladatain túl a gyermek családban nevelkedésének elősegítése, a gyermek veszélyeztetettségének megelőzése érdekében a gyermek igényeinek és szükségleteinek megfelelő önálló egyéni és csoportos speciális szolgáltatásokat, programokat nyújt; a gyermekvédelmi gondoskodás keretébe tartozó hatósági intézkedésekhez kapcsolódó, a gyermekek védelmére irányuló tevékenységet lát el; szakmai támogatást nyújt az ellátási területén működő gyermekjóléti szolgálatok számára.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4.3.3.2 Család- és gyermekjóléti szolgálat: Gyermekjóléti szolgáltatás a családsegítéssel egy szolgáltató – a család- és gyermekjóléti szolgálat keretében működtethető. A gyermekjóléti szolgálat ellátja a Gyvt. 39. § és a (2) bekezdés szerinti gyermekjóléti szolgáltatási feladatokat, valamint a családsegítés Szt. 64. § (4) bekezdése szerinti feladatait.</w:t>
      </w:r>
    </w:p>
    <w:p w:rsidR="00564B19" w:rsidRDefault="00A51FEF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4.3.4</w:t>
      </w:r>
      <w:r w:rsidR="00564B19">
        <w:rPr>
          <w:rFonts w:asciiTheme="majorHAnsi" w:eastAsia="Times New Roman" w:hAnsiTheme="majorHAnsi" w:cs="Times New Roman"/>
          <w:lang w:eastAsia="hu-HU"/>
        </w:rPr>
        <w:t xml:space="preserve"> </w:t>
      </w:r>
      <w:r>
        <w:rPr>
          <w:rFonts w:asciiTheme="majorHAnsi" w:eastAsia="Times New Roman" w:hAnsiTheme="majorHAnsi" w:cs="Times New Roman"/>
          <w:lang w:eastAsia="hu-HU"/>
        </w:rPr>
        <w:t>T</w:t>
      </w:r>
      <w:r w:rsidR="00564B19">
        <w:rPr>
          <w:rFonts w:asciiTheme="majorHAnsi" w:eastAsia="Times New Roman" w:hAnsiTheme="majorHAnsi" w:cs="Times New Roman"/>
          <w:lang w:eastAsia="hu-HU"/>
        </w:rPr>
        <w:t>elepülésfejlesztési projektek és támogatásuk, pályázatok megvalósítása</w:t>
      </w:r>
    </w:p>
    <w:p w:rsidR="00564B19" w:rsidRPr="00873087" w:rsidRDefault="00564B19" w:rsidP="00564B1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4.3.5</w:t>
      </w:r>
      <w:r w:rsidRPr="00292E1C">
        <w:rPr>
          <w:rFonts w:asciiTheme="majorHAnsi" w:eastAsia="Times New Roman" w:hAnsiTheme="majorHAnsi" w:cs="Times New Roman"/>
          <w:lang w:eastAsia="hu-HU"/>
        </w:rPr>
        <w:t xml:space="preserve"> Gyermekek napközbeni ellátása családi bölcsőde, munkahelyi bölcsőde, napközbeni gyermekfelügyelet vagy alternatív napközbeni ellátás útján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alaptevékenységének kormányzati funkció szerinti megjelölése: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kormányzati funkció megnevezése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374" w:type="pct"/>
            <w:vAlign w:val="center"/>
          </w:tcPr>
          <w:p w:rsidR="00564B19" w:rsidRPr="00817160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062020</w:t>
            </w:r>
          </w:p>
        </w:tc>
        <w:tc>
          <w:tcPr>
            <w:tcW w:w="3263" w:type="pct"/>
            <w:vAlign w:val="center"/>
          </w:tcPr>
          <w:p w:rsidR="00564B19" w:rsidRPr="00817160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Településfejlesztési projektek és támogatásuk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374" w:type="pct"/>
            <w:vAlign w:val="center"/>
          </w:tcPr>
          <w:p w:rsidR="00564B19" w:rsidRPr="00817160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072410</w:t>
            </w:r>
          </w:p>
        </w:tc>
        <w:tc>
          <w:tcPr>
            <w:tcW w:w="3263" w:type="pct"/>
            <w:vAlign w:val="center"/>
          </w:tcPr>
          <w:p w:rsidR="00564B19" w:rsidRPr="00817160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Otthoni (egészségügyi) szakápolás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073410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Egészségügyi ápolás bentlakással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101110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Bentlakásos, nem kórházi ellátás, ápolás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lastRenderedPageBreak/>
              <w:t>5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101211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Fogyatékossággal élők tartós bentlakásos ellátása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6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101222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Támogató szolgáltatás fogyatékos személyek részére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7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102023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Időskorúak tartós bentlakásos ellátása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8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102024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873087">
              <w:rPr>
                <w:rFonts w:asciiTheme="majorHAnsi" w:hAnsiTheme="majorHAnsi"/>
                <w:lang w:eastAsia="hu-HU"/>
              </w:rPr>
              <w:t>Demens</w:t>
            </w:r>
            <w:proofErr w:type="spellEnd"/>
            <w:r w:rsidRPr="00873087">
              <w:rPr>
                <w:rFonts w:asciiTheme="majorHAnsi" w:hAnsiTheme="majorHAnsi"/>
                <w:lang w:eastAsia="hu-HU"/>
              </w:rPr>
              <w:t xml:space="preserve"> betegek tartós bentlakásos ellátása</w:t>
            </w:r>
          </w:p>
        </w:tc>
      </w:tr>
      <w:tr w:rsidR="00564B19" w:rsidRPr="00873087" w:rsidTr="00C624BC">
        <w:tblPrEx>
          <w:jc w:val="left"/>
        </w:tblPrEx>
        <w:tc>
          <w:tcPr>
            <w:tcW w:w="363" w:type="pct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9</w:t>
            </w:r>
          </w:p>
        </w:tc>
        <w:tc>
          <w:tcPr>
            <w:tcW w:w="1374" w:type="pct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102031</w:t>
            </w:r>
          </w:p>
        </w:tc>
        <w:tc>
          <w:tcPr>
            <w:tcW w:w="3263" w:type="pct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Idősek nappali ellátása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10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104030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292E1C">
              <w:rPr>
                <w:rFonts w:asciiTheme="majorHAnsi" w:hAnsiTheme="majorHAnsi"/>
                <w:lang w:eastAsia="hu-HU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11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104042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 és gyermekjóléti szolgáltatások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12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104043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 és gyermekjóléti központ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13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107051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Szociális étkeztetés szociális konyhán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14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107052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Házi segítségnyújtás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15</w:t>
            </w:r>
          </w:p>
        </w:tc>
        <w:tc>
          <w:tcPr>
            <w:tcW w:w="137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107053</w:t>
            </w:r>
          </w:p>
        </w:tc>
        <w:tc>
          <w:tcPr>
            <w:tcW w:w="32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Jelzőrendszeres házi segítségnyújtás</w:t>
            </w:r>
          </w:p>
        </w:tc>
      </w:tr>
    </w:tbl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illetékessége, működési területe: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étkeztetés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 közigazgatási területe</w:t>
            </w:r>
          </w:p>
        </w:tc>
      </w:tr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 xml:space="preserve">nappali ellátás (idősek klubja)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 közigazgatási területe</w:t>
            </w:r>
          </w:p>
        </w:tc>
      </w:tr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Család- és Gyermekjóléti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Tiszavasvári Város közigazgatási területe</w:t>
            </w:r>
          </w:p>
        </w:tc>
      </w:tr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Család- és Gyermekjóléti Központ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Tiszavasvári Járáshoz tartozó települések közigazgatási területe</w:t>
            </w:r>
          </w:p>
        </w:tc>
      </w:tr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Város, Szorgalmatos Község közigazgatási területe</w:t>
            </w:r>
          </w:p>
        </w:tc>
      </w:tr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jelzőrendszeres 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Tiszavasvári-, Tiszalök-, Rakamaz városok, valamint Szabolcs-, Tímár-, Tiszadada-, Tiszadob-, Tiszaeszlár-, Tiszanagyfalu községek közigazgatási területe</w:t>
            </w:r>
          </w:p>
        </w:tc>
      </w:tr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támogató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Tiszavasvári-, Tiszaújváros-, Tiszalök városok, és Szorgalmatos-, Tiszadada-, Tiszadob községek közigazgatási területe</w:t>
            </w:r>
          </w:p>
        </w:tc>
      </w:tr>
      <w:tr w:rsidR="00564B19" w:rsidRPr="00873087" w:rsidTr="00C624B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idős, fogyatékos személyek otthona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9" w:rsidRPr="00873087" w:rsidRDefault="00564B19" w:rsidP="00C624B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Magyarország közigazgatási területe</w:t>
            </w:r>
          </w:p>
        </w:tc>
      </w:tr>
    </w:tbl>
    <w:p w:rsidR="00564B19" w:rsidRPr="00873087" w:rsidRDefault="00564B19" w:rsidP="00564B19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szervezete és működése</w:t>
      </w:r>
    </w:p>
    <w:p w:rsidR="00564B19" w:rsidRPr="000D58AF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vezetőjének megbízási rendje: A vezetőt nyilvános pályázat alapján Tiszavasvári Város Önkormányzata Képviselő-testülete bízza meg 5 év határozott időre, és gyakorolja a munkáltatói jogokat (kinevezés, jogviszony megszüntetése, fegyelmi eljárás). Az egyéb munkáltatói jogokat Magyarország helyi önkormányzatairól szóló 2011. évi CLXXXIX. törvény által biztosított hatáskörben Tiszavasvári Város Polgármestere gyakorolja. A vezető foglalkoztatási jogviszonyára a közalkalmazottak jogállásáról szóló </w:t>
      </w: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1992. évi XXXIII. törvény rendelkezései az irányadók, azaz határozatlan idejű közalkalmazottként történő foglalkoztatása mellett határozott idejű megbízottként látja el a vezetői feladatokat.</w:t>
      </w:r>
    </w:p>
    <w:p w:rsidR="00564B19" w:rsidRPr="00873087" w:rsidRDefault="00564B19" w:rsidP="00564B19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szervnél alkalmazásban álló személyek jogviszonya: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0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jogviszonyt szabályozó jogszabály</w:t>
            </w:r>
          </w:p>
        </w:tc>
      </w:tr>
      <w:tr w:rsidR="00564B19" w:rsidRPr="00873087" w:rsidTr="00C624BC">
        <w:trPr>
          <w:jc w:val="center"/>
        </w:trPr>
        <w:tc>
          <w:tcPr>
            <w:tcW w:w="36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03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közalkalmazotti jogviszony</w:t>
            </w:r>
          </w:p>
        </w:tc>
        <w:tc>
          <w:tcPr>
            <w:tcW w:w="3034" w:type="pct"/>
            <w:vAlign w:val="center"/>
          </w:tcPr>
          <w:p w:rsidR="00564B19" w:rsidRPr="00873087" w:rsidRDefault="00564B19" w:rsidP="00C624B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a közalkalmazottak jogállásáról szóló 1992. évi XXXIII. törvény</w:t>
            </w:r>
          </w:p>
        </w:tc>
      </w:tr>
    </w:tbl>
    <w:p w:rsidR="00564B19" w:rsidRPr="00873087" w:rsidRDefault="00564B19" w:rsidP="00564B19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Theme="majorHAnsi" w:eastAsia="Calibri" w:hAnsiTheme="majorHAnsi" w:cs="Times New Roman"/>
          <w:lang w:eastAsia="hu-HU"/>
        </w:rPr>
      </w:pPr>
    </w:p>
    <w:p w:rsidR="00564B19" w:rsidRDefault="00564B19" w:rsidP="00564B19"/>
    <w:p w:rsidR="00564B19" w:rsidRDefault="00564B19" w:rsidP="00564B19"/>
    <w:p w:rsidR="00564B19" w:rsidRDefault="00564B19" w:rsidP="00564B19"/>
    <w:p w:rsidR="00830BB2" w:rsidRDefault="00830BB2" w:rsidP="00564B19">
      <w:pPr>
        <w:tabs>
          <w:tab w:val="left" w:leader="dot" w:pos="9072"/>
          <w:tab w:val="left" w:leader="dot" w:pos="16443"/>
        </w:tabs>
        <w:spacing w:after="840" w:line="240" w:lineRule="auto"/>
        <w:jc w:val="both"/>
      </w:pPr>
    </w:p>
    <w:sectPr w:rsidR="0083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BC8"/>
    <w:multiLevelType w:val="hybridMultilevel"/>
    <w:tmpl w:val="844E1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7B193E56"/>
    <w:multiLevelType w:val="hybridMultilevel"/>
    <w:tmpl w:val="A7DAEB46"/>
    <w:lvl w:ilvl="0" w:tplc="0A06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F"/>
    <w:rsid w:val="000F1BC6"/>
    <w:rsid w:val="001F0CC7"/>
    <w:rsid w:val="002B0A05"/>
    <w:rsid w:val="002D3AE9"/>
    <w:rsid w:val="004B294E"/>
    <w:rsid w:val="005212AE"/>
    <w:rsid w:val="00564B19"/>
    <w:rsid w:val="005970A1"/>
    <w:rsid w:val="005A51DB"/>
    <w:rsid w:val="005E47DB"/>
    <w:rsid w:val="005F7434"/>
    <w:rsid w:val="006C4EB2"/>
    <w:rsid w:val="006D40E2"/>
    <w:rsid w:val="0081240A"/>
    <w:rsid w:val="0081542C"/>
    <w:rsid w:val="00817160"/>
    <w:rsid w:val="00830BB2"/>
    <w:rsid w:val="008E7CE8"/>
    <w:rsid w:val="009267E4"/>
    <w:rsid w:val="009461FF"/>
    <w:rsid w:val="00A51FEF"/>
    <w:rsid w:val="00A7092B"/>
    <w:rsid w:val="00AC44C6"/>
    <w:rsid w:val="00B47F39"/>
    <w:rsid w:val="00BD09DA"/>
    <w:rsid w:val="00BF40D0"/>
    <w:rsid w:val="00C34226"/>
    <w:rsid w:val="00CC669F"/>
    <w:rsid w:val="00D16524"/>
    <w:rsid w:val="00D53B6F"/>
    <w:rsid w:val="00D60DA4"/>
    <w:rsid w:val="00DE2D53"/>
    <w:rsid w:val="00F7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B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B6F"/>
    <w:pPr>
      <w:ind w:left="720"/>
      <w:contextualSpacing/>
    </w:pPr>
  </w:style>
  <w:style w:type="table" w:styleId="Rcsostblzat">
    <w:name w:val="Table Grid"/>
    <w:basedOn w:val="Norml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5212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B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B6F"/>
    <w:pPr>
      <w:ind w:left="720"/>
      <w:contextualSpacing/>
    </w:pPr>
  </w:style>
  <w:style w:type="table" w:styleId="Rcsostblzat">
    <w:name w:val="Table Grid"/>
    <w:basedOn w:val="Norml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5212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5F67-3947-4ECD-A2C5-7F44AB37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2529</Words>
  <Characters>17456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Krasznainé</dc:creator>
  <cp:lastModifiedBy>dr. Csomós Anita</cp:lastModifiedBy>
  <cp:revision>27</cp:revision>
  <cp:lastPrinted>2020-12-17T08:23:00Z</cp:lastPrinted>
  <dcterms:created xsi:type="dcterms:W3CDTF">2020-11-13T09:39:00Z</dcterms:created>
  <dcterms:modified xsi:type="dcterms:W3CDTF">2020-12-18T11:05:00Z</dcterms:modified>
</cp:coreProperties>
</file>